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92" w:rsidRDefault="00DB6092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22"/>
          <w:szCs w:val="24"/>
        </w:rPr>
      </w:pPr>
    </w:p>
    <w:p w:rsidR="00DB6092" w:rsidRDefault="00DB6092">
      <w:pPr>
        <w:pStyle w:val="En-tte"/>
        <w:tabs>
          <w:tab w:val="clear" w:pos="4320"/>
          <w:tab w:val="clear" w:pos="8640"/>
          <w:tab w:val="left" w:pos="1985"/>
        </w:tabs>
        <w:rPr>
          <w:rFonts w:ascii="Arial" w:hAnsi="Arial" w:cs="Arial"/>
          <w:szCs w:val="24"/>
        </w:rPr>
      </w:pPr>
    </w:p>
    <w:p w:rsidR="00DB6092" w:rsidRDefault="00DB6092">
      <w:pPr>
        <w:pStyle w:val="En-tte"/>
        <w:tabs>
          <w:tab w:val="clear" w:pos="4320"/>
          <w:tab w:val="clear" w:pos="8640"/>
          <w:tab w:val="left" w:pos="1985"/>
        </w:tabs>
        <w:rPr>
          <w:rFonts w:ascii="Arial" w:hAnsi="Arial" w:cs="Arial"/>
          <w:szCs w:val="24"/>
        </w:rPr>
      </w:pPr>
    </w:p>
    <w:p w:rsidR="00DB6092" w:rsidRPr="00DB7C6F" w:rsidRDefault="00EC0B74" w:rsidP="006B3F59">
      <w:pPr>
        <w:tabs>
          <w:tab w:val="left" w:pos="1980"/>
        </w:tabs>
        <w:spacing w:line="276" w:lineRule="auto"/>
        <w:rPr>
          <w:b/>
          <w:sz w:val="24"/>
          <w:szCs w:val="24"/>
        </w:rPr>
      </w:pPr>
      <w:r w:rsidRPr="00DB7C6F">
        <w:rPr>
          <w:b/>
          <w:sz w:val="24"/>
          <w:szCs w:val="24"/>
        </w:rPr>
        <w:tab/>
      </w:r>
      <w:r w:rsidR="00DB7C6F" w:rsidRPr="00DB7C6F">
        <w:rPr>
          <w:b/>
          <w:sz w:val="24"/>
          <w:szCs w:val="24"/>
        </w:rPr>
        <w:t>1 000 élèves initiés au théâtre</w:t>
      </w:r>
    </w:p>
    <w:p w:rsidR="00DB6092" w:rsidRPr="006B3F59" w:rsidRDefault="00DB6092" w:rsidP="006B3F59">
      <w:pPr>
        <w:pStyle w:val="En-tte"/>
        <w:tabs>
          <w:tab w:val="clear" w:pos="4320"/>
          <w:tab w:val="clear" w:pos="8640"/>
          <w:tab w:val="left" w:pos="1985"/>
        </w:tabs>
        <w:spacing w:line="276" w:lineRule="auto"/>
        <w:rPr>
          <w:sz w:val="28"/>
          <w:szCs w:val="24"/>
        </w:rPr>
      </w:pPr>
    </w:p>
    <w:p w:rsidR="00DB7C6F" w:rsidRDefault="00DB7C6F" w:rsidP="00DB7C6F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Près de 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000 élèves du préscolaire et du premier cycle du primaire ont eu la chance d'assister cette semaine à une représentation de </w:t>
      </w:r>
      <w:proofErr w:type="spellStart"/>
      <w:r>
        <w:rPr>
          <w:i/>
          <w:iCs/>
          <w:color w:val="000000"/>
          <w:sz w:val="24"/>
          <w:szCs w:val="24"/>
        </w:rPr>
        <w:t>Mwana</w:t>
      </w:r>
      <w:proofErr w:type="spellEnd"/>
      <w:r>
        <w:rPr>
          <w:i/>
          <w:iCs/>
          <w:color w:val="000000"/>
          <w:sz w:val="24"/>
          <w:szCs w:val="24"/>
        </w:rPr>
        <w:t xml:space="preserve"> et le secret de la tortue</w:t>
      </w:r>
      <w:r>
        <w:rPr>
          <w:color w:val="000000"/>
          <w:sz w:val="24"/>
          <w:szCs w:val="24"/>
        </w:rPr>
        <w:t xml:space="preserve">, une création du Théâtre à l'envers. </w:t>
      </w:r>
    </w:p>
    <w:p w:rsidR="00DB7C6F" w:rsidRDefault="00DB7C6F" w:rsidP="00DB7C6F">
      <w:pPr>
        <w:spacing w:line="276" w:lineRule="auto"/>
        <w:contextualSpacing/>
        <w:jc w:val="both"/>
        <w:rPr>
          <w:color w:val="000000"/>
          <w:sz w:val="24"/>
          <w:szCs w:val="24"/>
        </w:rPr>
      </w:pPr>
    </w:p>
    <w:p w:rsidR="00DB6092" w:rsidRPr="006B3F59" w:rsidRDefault="00DB7C6F" w:rsidP="00DB7C6F">
      <w:pPr>
        <w:spacing w:line="276" w:lineRule="auto"/>
        <w:contextualSpacing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La pièce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inspirée d'un conte traditionnel africain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faisait également découvrir le théâtre d'ombres et les marionnettes. Pour plusieurs, il s'agissait d</w:t>
      </w:r>
      <w:r>
        <w:rPr>
          <w:color w:val="000000"/>
          <w:sz w:val="24"/>
          <w:szCs w:val="24"/>
        </w:rPr>
        <w:t xml:space="preserve">’une </w:t>
      </w:r>
      <w:r>
        <w:rPr>
          <w:color w:val="000000"/>
          <w:sz w:val="24"/>
          <w:szCs w:val="24"/>
        </w:rPr>
        <w:t xml:space="preserve">première sortie au théâtre. </w:t>
      </w:r>
      <w:r>
        <w:rPr>
          <w:color w:val="000000"/>
          <w:sz w:val="24"/>
          <w:szCs w:val="24"/>
        </w:rPr>
        <w:t xml:space="preserve">Le Centre de services scolaire des Appalaches est </w:t>
      </w:r>
      <w:r>
        <w:rPr>
          <w:color w:val="000000"/>
          <w:sz w:val="24"/>
          <w:szCs w:val="24"/>
        </w:rPr>
        <w:t xml:space="preserve">très heureux d'avoir pu enfin offrir cette opportunité culturelle en personne à </w:t>
      </w:r>
      <w:r>
        <w:rPr>
          <w:color w:val="000000"/>
          <w:sz w:val="24"/>
          <w:szCs w:val="24"/>
        </w:rPr>
        <w:t>se</w:t>
      </w:r>
      <w:r>
        <w:rPr>
          <w:color w:val="000000"/>
          <w:sz w:val="24"/>
          <w:szCs w:val="24"/>
        </w:rPr>
        <w:t xml:space="preserve">s élèves à la Salle Dussault, en collaboration avec </w:t>
      </w:r>
      <w:proofErr w:type="spellStart"/>
      <w:r>
        <w:rPr>
          <w:color w:val="000000"/>
          <w:sz w:val="24"/>
          <w:szCs w:val="24"/>
        </w:rPr>
        <w:t>Spect</w:t>
      </w:r>
      <w:proofErr w:type="spellEnd"/>
      <w:r>
        <w:rPr>
          <w:color w:val="000000"/>
          <w:sz w:val="24"/>
          <w:szCs w:val="24"/>
        </w:rPr>
        <w:t>-Art.</w:t>
      </w:r>
      <w:bookmarkStart w:id="0" w:name="_GoBack"/>
      <w:bookmarkEnd w:id="0"/>
    </w:p>
    <w:sectPr w:rsidR="00DB6092" w:rsidRPr="006B3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2268" w:right="1467" w:bottom="36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EAA" w:rsidRDefault="004F5EAA">
      <w:r>
        <w:separator/>
      </w:r>
    </w:p>
  </w:endnote>
  <w:endnote w:type="continuationSeparator" w:id="0">
    <w:p w:rsidR="004F5EAA" w:rsidRDefault="004F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92" w:rsidRDefault="00DB60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92" w:rsidRDefault="00DB60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20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4"/>
      <w:gridCol w:w="1992"/>
      <w:gridCol w:w="266"/>
      <w:gridCol w:w="2891"/>
    </w:tblGrid>
    <w:tr w:rsidR="00DB6092">
      <w:tc>
        <w:tcPr>
          <w:tcW w:w="1778" w:type="dxa"/>
          <w:noWrap/>
        </w:tcPr>
        <w:p w:rsidR="00DB6092" w:rsidRDefault="00DB6092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:rsidR="00DB6092" w:rsidRDefault="00EC0B74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650, rue Lapierre</w:t>
          </w:r>
        </w:p>
        <w:p w:rsidR="00DB6092" w:rsidRDefault="00EC0B74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Thetford Mines (</w:t>
          </w:r>
          <w:proofErr w:type="gramStart"/>
          <w:r>
            <w:rPr>
              <w:rFonts w:ascii="Chaloult_Cond" w:hAnsi="Chaloult_Cond"/>
              <w:sz w:val="14"/>
            </w:rPr>
            <w:t>Québec)  G</w:t>
          </w:r>
          <w:proofErr w:type="gramEnd"/>
          <w:r>
            <w:rPr>
              <w:rFonts w:ascii="Chaloult_Cond" w:hAnsi="Chaloult_Cond"/>
              <w:sz w:val="14"/>
            </w:rPr>
            <w:t>6G 7P1</w:t>
          </w:r>
        </w:p>
        <w:p w:rsidR="00DB6092" w:rsidRDefault="00EC0B74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>Téléphone : 418 338-7800</w:t>
          </w:r>
        </w:p>
        <w:p w:rsidR="00DB6092" w:rsidRDefault="00EC0B74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Télécopieur : 418 338-4599</w:t>
          </w:r>
        </w:p>
        <w:p w:rsidR="00DB6092" w:rsidRDefault="00EC0B74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www.csappalaches.qc.ca</w:t>
          </w:r>
        </w:p>
      </w:tc>
      <w:tc>
        <w:tcPr>
          <w:tcW w:w="250" w:type="dxa"/>
          <w:noWrap/>
        </w:tcPr>
        <w:p w:rsidR="00DB6092" w:rsidRDefault="00DB6092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875" w:type="dxa"/>
          <w:noWrap/>
        </w:tcPr>
        <w:p w:rsidR="00DB6092" w:rsidRDefault="00DB6092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:rsidR="00DB6092" w:rsidRDefault="00DB60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EAA" w:rsidRDefault="004F5EAA">
      <w:r>
        <w:separator/>
      </w:r>
    </w:p>
  </w:footnote>
  <w:footnote w:type="continuationSeparator" w:id="0">
    <w:p w:rsidR="004F5EAA" w:rsidRDefault="004F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92" w:rsidRDefault="00DB60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92" w:rsidRDefault="00DB60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0"/>
      <w:gridCol w:w="950"/>
      <w:gridCol w:w="4481"/>
      <w:gridCol w:w="3502"/>
    </w:tblGrid>
    <w:tr w:rsidR="00DB6092">
      <w:trPr>
        <w:trHeight w:hRule="exact" w:val="1418"/>
      </w:trPr>
      <w:tc>
        <w:tcPr>
          <w:tcW w:w="2770" w:type="dxa"/>
          <w:gridSpan w:val="2"/>
          <w:vAlign w:val="bottom"/>
        </w:tcPr>
        <w:p w:rsidR="00DB6092" w:rsidRDefault="00EC0B74">
          <w:pPr>
            <w:pStyle w:val="En-tte"/>
          </w:pPr>
          <w:r>
            <w:rPr>
              <w:noProof/>
              <w:lang w:eastAsia="fr-CA"/>
            </w:rPr>
            <w:drawing>
              <wp:inline distT="0" distB="0" distL="0" distR="0">
                <wp:extent cx="1504950" cy="676275"/>
                <wp:effectExtent l="0" t="0" r="0" b="0"/>
                <wp:docPr id="38" name="Image 38" descr="CSSAppalaches_word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 descr="CSSAppalaches_word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3" w:type="dxa"/>
          <w:gridSpan w:val="2"/>
          <w:vAlign w:val="bottom"/>
        </w:tcPr>
        <w:p w:rsidR="00DB6092" w:rsidRDefault="00EC0B74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sz w:val="52"/>
            </w:rPr>
          </w:pPr>
          <w:r>
            <w:rPr>
              <w:rFonts w:ascii="Chaloult_Cond" w:hAnsi="Chaloult_Cond"/>
              <w:sz w:val="52"/>
            </w:rPr>
            <w:t xml:space="preserve">Note de service </w:t>
          </w:r>
        </w:p>
      </w:tc>
    </w:tr>
    <w:tr w:rsidR="00DB6092">
      <w:trPr>
        <w:gridAfter w:val="1"/>
        <w:wAfter w:w="3502" w:type="dxa"/>
        <w:trHeight w:val="281"/>
      </w:trPr>
      <w:tc>
        <w:tcPr>
          <w:tcW w:w="1820" w:type="dxa"/>
        </w:tcPr>
        <w:p w:rsidR="00DB6092" w:rsidRDefault="00DB6092">
          <w:pPr>
            <w:pStyle w:val="En-tte"/>
          </w:pPr>
        </w:p>
      </w:tc>
      <w:tc>
        <w:tcPr>
          <w:tcW w:w="5431" w:type="dxa"/>
          <w:gridSpan w:val="2"/>
        </w:tcPr>
        <w:p w:rsidR="00DB6092" w:rsidRDefault="00EC0B74">
          <w:pPr>
            <w:pStyle w:val="En-tte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sz w:val="15"/>
            </w:rPr>
            <w:t>Service éducatif</w:t>
          </w:r>
        </w:p>
      </w:tc>
    </w:tr>
  </w:tbl>
  <w:p w:rsidR="00DB6092" w:rsidRDefault="00DB60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0D46"/>
    <w:multiLevelType w:val="hybridMultilevel"/>
    <w:tmpl w:val="E1D42A78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36A24"/>
    <w:multiLevelType w:val="hybridMultilevel"/>
    <w:tmpl w:val="C400DF3C"/>
    <w:lvl w:ilvl="0" w:tplc="FDB25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51CC0"/>
    <w:multiLevelType w:val="hybridMultilevel"/>
    <w:tmpl w:val="6E60F00E"/>
    <w:lvl w:ilvl="0" w:tplc="0C0C000F">
      <w:start w:val="1"/>
      <w:numFmt w:val="decimal"/>
      <w:lvlText w:val="%1."/>
      <w:lvlJc w:val="left"/>
      <w:pPr>
        <w:ind w:left="1146" w:hanging="360"/>
      </w:pPr>
    </w:lvl>
    <w:lvl w:ilvl="1" w:tplc="0C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2"/>
    <w:rsid w:val="004F5EAA"/>
    <w:rsid w:val="006B3F59"/>
    <w:rsid w:val="00C10FBA"/>
    <w:rsid w:val="00DB6092"/>
    <w:rsid w:val="00DB7C6F"/>
    <w:rsid w:val="00E807AB"/>
    <w:rsid w:val="00E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0101EA"/>
  <w15:chartTrackingRefBased/>
  <w15:docId w15:val="{098C5160-14E8-4B99-ABAA-19D7B54E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Pr>
      <w:lang w:eastAsia="fr-FR"/>
    </w:rPr>
  </w:style>
  <w:style w:type="paragraph" w:styleId="Paragraphedeliste">
    <w:name w:val="List Paragraph"/>
    <w:basedOn w:val="Normal"/>
    <w:uiPriority w:val="34"/>
    <w:qFormat/>
    <w:pPr>
      <w:ind w:left="720" w:right="142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els\OneDrive%20-%20CS%20des%20Appalaches\Normes%20graphiques%20CSSA-2020\Note%20de%20service\Note_Service%20&#233;ducati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39F35BFAF11449005651E85CD589C" ma:contentTypeVersion="5" ma:contentTypeDescription="Create a new document." ma:contentTypeScope="" ma:versionID="aeccd691cecd443ea74614fd65fa3f20">
  <xsd:schema xmlns:xsd="http://www.w3.org/2001/XMLSchema" xmlns:xs="http://www.w3.org/2001/XMLSchema" xmlns:p="http://schemas.microsoft.com/office/2006/metadata/properties" xmlns:ns2="8df410b8-546f-4154-8fed-9820900ce404" targetNamespace="http://schemas.microsoft.com/office/2006/metadata/properties" ma:root="true" ma:fieldsID="754291af83f8f49b0f3fadf1dec40776" ns2:_="">
    <xsd:import namespace="8df410b8-546f-4154-8fed-9820900ce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10b8-546f-4154-8fed-9820900ce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5D6D2-FB5B-4FFC-9604-A2E533902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1E27F-06A5-48BF-89C9-1D9494707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EC740-7926-4AC3-BA69-BC09AD5BC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10b8-546f-4154-8fed-9820900ce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Note_Service éducatif.dotx</Template>
  <TotalTime>3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Administrateur</dc:creator>
  <cp:keywords/>
  <dc:description/>
  <cp:lastModifiedBy>Mario Royer</cp:lastModifiedBy>
  <cp:revision>4</cp:revision>
  <cp:lastPrinted>2021-10-13T19:04:00Z</cp:lastPrinted>
  <dcterms:created xsi:type="dcterms:W3CDTF">2022-03-18T16:38:00Z</dcterms:created>
  <dcterms:modified xsi:type="dcterms:W3CDTF">2022-03-18T16:41:00Z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0x0101001CD39F35BFAF11449005651E85CD589C</vt:lpwstr>
  </property>
</Properties>
</file>