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46" w:rsidRDefault="003E2446" w:rsidP="009A0946">
      <w:pPr>
        <w:pStyle w:val="En-tte"/>
        <w:tabs>
          <w:tab w:val="clear" w:pos="4320"/>
          <w:tab w:val="clear" w:pos="8640"/>
        </w:tabs>
        <w:jc w:val="center"/>
        <w:rPr>
          <w:b/>
          <w:sz w:val="24"/>
        </w:rPr>
      </w:pPr>
    </w:p>
    <w:p w:rsidR="00BB0445" w:rsidRPr="00B833CE" w:rsidRDefault="00A73563" w:rsidP="009A0946">
      <w:pPr>
        <w:pStyle w:val="En-tte"/>
        <w:tabs>
          <w:tab w:val="clear" w:pos="4320"/>
          <w:tab w:val="clear" w:pos="8640"/>
        </w:tabs>
        <w:jc w:val="center"/>
        <w:rPr>
          <w:rFonts w:ascii="Arial" w:hAnsi="Arial" w:cs="Arial"/>
          <w:b/>
          <w:sz w:val="22"/>
          <w:szCs w:val="22"/>
        </w:rPr>
      </w:pPr>
      <w:r>
        <w:rPr>
          <w:rFonts w:ascii="Arial" w:hAnsi="Arial" w:cs="Arial"/>
          <w:b/>
          <w:sz w:val="22"/>
          <w:szCs w:val="22"/>
        </w:rPr>
        <w:t>LE CFP LE TREMPLIN S’ALLIE À LA SDE ET E2RT POUR UNE NOUVELLE EXPÉRIENCE</w:t>
      </w:r>
    </w:p>
    <w:p w:rsidR="00BB0445" w:rsidRPr="00B833CE" w:rsidRDefault="00BB0445" w:rsidP="009A0946">
      <w:pPr>
        <w:pStyle w:val="En-tte"/>
        <w:tabs>
          <w:tab w:val="clear" w:pos="4320"/>
          <w:tab w:val="clear" w:pos="8640"/>
        </w:tabs>
        <w:jc w:val="center"/>
        <w:rPr>
          <w:rFonts w:ascii="Arial" w:hAnsi="Arial" w:cs="Arial"/>
          <w:b/>
          <w:sz w:val="22"/>
          <w:szCs w:val="22"/>
        </w:rPr>
      </w:pPr>
    </w:p>
    <w:p w:rsidR="00A73563" w:rsidRPr="00A73563" w:rsidRDefault="00BB0445" w:rsidP="00A73563">
      <w:pPr>
        <w:jc w:val="both"/>
        <w:rPr>
          <w:rFonts w:ascii="Arial" w:hAnsi="Arial" w:cs="Arial"/>
          <w:sz w:val="24"/>
          <w:szCs w:val="24"/>
        </w:rPr>
      </w:pPr>
      <w:r w:rsidRPr="00A73563">
        <w:rPr>
          <w:rFonts w:ascii="Arial" w:hAnsi="Arial" w:cs="Arial"/>
          <w:b/>
          <w:sz w:val="24"/>
          <w:szCs w:val="24"/>
        </w:rPr>
        <w:t xml:space="preserve">Thetford Mines – le </w:t>
      </w:r>
      <w:r w:rsidR="004E40E9">
        <w:rPr>
          <w:rFonts w:ascii="Arial" w:hAnsi="Arial" w:cs="Arial"/>
          <w:b/>
          <w:sz w:val="24"/>
          <w:szCs w:val="24"/>
        </w:rPr>
        <w:t>9</w:t>
      </w:r>
      <w:bookmarkStart w:id="0" w:name="_GoBack"/>
      <w:bookmarkEnd w:id="0"/>
      <w:r w:rsidR="008A236A" w:rsidRPr="00A73563">
        <w:rPr>
          <w:rFonts w:ascii="Arial" w:hAnsi="Arial" w:cs="Arial"/>
          <w:b/>
          <w:sz w:val="24"/>
          <w:szCs w:val="24"/>
        </w:rPr>
        <w:t xml:space="preserve"> mars</w:t>
      </w:r>
      <w:r w:rsidR="00D1067D" w:rsidRPr="00A73563">
        <w:rPr>
          <w:rFonts w:ascii="Arial" w:hAnsi="Arial" w:cs="Arial"/>
          <w:b/>
          <w:sz w:val="24"/>
          <w:szCs w:val="24"/>
        </w:rPr>
        <w:t xml:space="preserve"> 2022</w:t>
      </w:r>
      <w:r w:rsidRPr="00A73563">
        <w:rPr>
          <w:rFonts w:ascii="Arial" w:hAnsi="Arial" w:cs="Arial"/>
          <w:b/>
          <w:sz w:val="24"/>
          <w:szCs w:val="24"/>
        </w:rPr>
        <w:t xml:space="preserve"> – </w:t>
      </w:r>
      <w:r w:rsidR="00A73563" w:rsidRPr="00A73563">
        <w:rPr>
          <w:rFonts w:ascii="Arial" w:hAnsi="Arial" w:cs="Arial"/>
          <w:sz w:val="24"/>
          <w:szCs w:val="24"/>
        </w:rPr>
        <w:t>Faisant toujours preuve d’innovation par l’ajout de nouveaux programmes ou de nouvelles façons de faire, le Centre de formation professionnelle Le Tremplin vient de se tourner, cette fois, vers deux partenaires pour l’offre du programme « Lancement d’une entreprise ».</w:t>
      </w:r>
    </w:p>
    <w:p w:rsidR="00A73563" w:rsidRPr="00A73563" w:rsidRDefault="00A73563" w:rsidP="00A73563">
      <w:pPr>
        <w:jc w:val="both"/>
        <w:rPr>
          <w:rFonts w:ascii="Arial" w:hAnsi="Arial" w:cs="Arial"/>
          <w:sz w:val="24"/>
          <w:szCs w:val="24"/>
        </w:rPr>
      </w:pPr>
    </w:p>
    <w:p w:rsidR="00A73563" w:rsidRPr="00A73563" w:rsidRDefault="00A73563" w:rsidP="00A73563">
      <w:pPr>
        <w:jc w:val="both"/>
        <w:rPr>
          <w:rFonts w:ascii="Arial" w:hAnsi="Arial" w:cs="Arial"/>
          <w:sz w:val="24"/>
          <w:szCs w:val="24"/>
        </w:rPr>
      </w:pPr>
      <w:r w:rsidRPr="00A73563">
        <w:rPr>
          <w:rFonts w:ascii="Arial" w:hAnsi="Arial" w:cs="Arial"/>
          <w:sz w:val="24"/>
          <w:szCs w:val="24"/>
        </w:rPr>
        <w:t>En effet, bien qu’elle dispense déjà ce cours, la direction de l’établissement a choisi de s’associer à la Société de développement économique (SDE) de la région de Thetford et à l’Espace Entrepreneuriat Région Thetford (E2RT) afin de permettre à la nouvelle cohorte qui vient de débuter de profiter de l’expertise de ces deux partenaires.</w:t>
      </w:r>
    </w:p>
    <w:p w:rsidR="00A73563" w:rsidRPr="00A73563" w:rsidRDefault="00A73563" w:rsidP="00A73563">
      <w:pPr>
        <w:jc w:val="both"/>
        <w:rPr>
          <w:rFonts w:ascii="Arial" w:hAnsi="Arial" w:cs="Arial"/>
          <w:sz w:val="24"/>
          <w:szCs w:val="24"/>
        </w:rPr>
      </w:pPr>
    </w:p>
    <w:p w:rsidR="00A73563" w:rsidRPr="00A73563" w:rsidRDefault="00A73563" w:rsidP="00A73563">
      <w:pPr>
        <w:jc w:val="both"/>
        <w:rPr>
          <w:rFonts w:ascii="Arial" w:hAnsi="Arial" w:cs="Arial"/>
          <w:sz w:val="24"/>
          <w:szCs w:val="24"/>
        </w:rPr>
      </w:pPr>
      <w:r w:rsidRPr="00A73563">
        <w:rPr>
          <w:rFonts w:ascii="Arial" w:hAnsi="Arial" w:cs="Arial"/>
          <w:sz w:val="24"/>
          <w:szCs w:val="24"/>
        </w:rPr>
        <w:t>C’est ainsi que la SDE, par l’entremise de madame Manon Breton, commissaire au développement économique, sera responsable d’offrir la formation. D’autres professionnels de la SDE prêteront également leur concours pour l’accompagnement de projets. Pour sa part, E2RT met ses locaux et ses infrastructures, en plus de quelques ressources, à la disposition des élèves afin de les aider à concevoir leur plan d’affaires pour mener éventuellement au démarrage de leur entreprise. C’est donc à l’intérieur même de l’incubateur que sont formés les futurs entrepreneurs.</w:t>
      </w:r>
    </w:p>
    <w:p w:rsidR="00A73563" w:rsidRPr="00A73563" w:rsidRDefault="00A73563" w:rsidP="00A73563">
      <w:pPr>
        <w:jc w:val="both"/>
        <w:rPr>
          <w:rFonts w:ascii="Arial" w:hAnsi="Arial" w:cs="Arial"/>
          <w:sz w:val="24"/>
          <w:szCs w:val="24"/>
        </w:rPr>
      </w:pPr>
    </w:p>
    <w:p w:rsidR="00A73563" w:rsidRPr="00A73563" w:rsidRDefault="00A73563" w:rsidP="00A73563">
      <w:pPr>
        <w:jc w:val="both"/>
        <w:rPr>
          <w:rFonts w:ascii="Arial" w:hAnsi="Arial" w:cs="Arial"/>
          <w:sz w:val="24"/>
          <w:szCs w:val="24"/>
        </w:rPr>
      </w:pPr>
      <w:r w:rsidRPr="00A73563">
        <w:rPr>
          <w:rFonts w:ascii="Arial" w:hAnsi="Arial" w:cs="Arial"/>
          <w:sz w:val="24"/>
          <w:szCs w:val="24"/>
        </w:rPr>
        <w:t>La directrice du CFP Le Tremplin, madame Pascale Chamberland, se réjouit de cette collaboration tripartite qui permet aux élèves de bénéficier de différentes expertises. « Cette façon de faire assure à nos élèves une formation complète qui comprend des cours magistraux, des conférences, des ateliers pratiques et du coaching personnalisé ».</w:t>
      </w:r>
    </w:p>
    <w:p w:rsidR="00A73563" w:rsidRPr="00A73563" w:rsidRDefault="00A73563" w:rsidP="00A73563">
      <w:pPr>
        <w:jc w:val="both"/>
        <w:rPr>
          <w:rFonts w:ascii="Arial" w:hAnsi="Arial" w:cs="Arial"/>
          <w:sz w:val="24"/>
          <w:szCs w:val="24"/>
        </w:rPr>
      </w:pPr>
    </w:p>
    <w:p w:rsidR="00A73563" w:rsidRPr="00A73563" w:rsidRDefault="00A73563" w:rsidP="00A73563">
      <w:pPr>
        <w:jc w:val="both"/>
        <w:rPr>
          <w:rFonts w:ascii="Arial" w:hAnsi="Arial" w:cs="Arial"/>
          <w:sz w:val="24"/>
          <w:szCs w:val="24"/>
        </w:rPr>
      </w:pPr>
      <w:r w:rsidRPr="00A73563">
        <w:rPr>
          <w:rFonts w:ascii="Arial" w:hAnsi="Arial" w:cs="Arial"/>
          <w:sz w:val="24"/>
          <w:szCs w:val="24"/>
        </w:rPr>
        <w:t>La formation, d’une durée de 330 heures, se fait en entrée continue. Elle permet ainsi d’accueillir de nouveaux élèves en tout temps. La formation vise notamment à permettre aux élèves de procéder à une analyse de marché, acquérir des habiletés en communication et en prise de décision, à réaliser un plan d’affaires et des prévisions financières et, ultimement, à démarrer leur entreprise.</w:t>
      </w:r>
    </w:p>
    <w:p w:rsidR="00A73563" w:rsidRDefault="00A73563" w:rsidP="00A73563">
      <w:pPr>
        <w:jc w:val="both"/>
        <w:rPr>
          <w:rFonts w:ascii="Arial" w:hAnsi="Arial" w:cs="Arial"/>
        </w:rPr>
      </w:pPr>
    </w:p>
    <w:p w:rsidR="00A73563" w:rsidRPr="00D87905" w:rsidRDefault="00A73563" w:rsidP="00A73563">
      <w:pPr>
        <w:ind w:right="54"/>
        <w:jc w:val="both"/>
        <w:rPr>
          <w:rFonts w:ascii="Arial" w:hAnsi="Arial" w:cs="Arial"/>
          <w:sz w:val="22"/>
        </w:rPr>
      </w:pPr>
    </w:p>
    <w:p w:rsidR="00C30250" w:rsidRPr="00B833CE" w:rsidRDefault="00C30250" w:rsidP="00C30250">
      <w:pPr>
        <w:pStyle w:val="En-tte"/>
        <w:tabs>
          <w:tab w:val="clear" w:pos="4320"/>
          <w:tab w:val="clear" w:pos="8640"/>
        </w:tabs>
        <w:jc w:val="center"/>
        <w:rPr>
          <w:rFonts w:ascii="Arial" w:hAnsi="Arial" w:cs="Arial"/>
          <w:sz w:val="22"/>
          <w:szCs w:val="22"/>
        </w:rPr>
      </w:pPr>
      <w:r w:rsidRPr="00B833CE">
        <w:rPr>
          <w:rFonts w:ascii="Arial" w:hAnsi="Arial" w:cs="Arial"/>
          <w:sz w:val="22"/>
          <w:szCs w:val="22"/>
        </w:rPr>
        <w:t>-30-</w:t>
      </w:r>
    </w:p>
    <w:p w:rsidR="003F5FB3" w:rsidRPr="00B833CE" w:rsidRDefault="003F5FB3" w:rsidP="00BB0445">
      <w:pPr>
        <w:pStyle w:val="En-tte"/>
        <w:tabs>
          <w:tab w:val="clear" w:pos="4320"/>
          <w:tab w:val="clear" w:pos="8640"/>
        </w:tabs>
        <w:jc w:val="both"/>
        <w:rPr>
          <w:rFonts w:ascii="Arial" w:hAnsi="Arial" w:cs="Arial"/>
          <w:sz w:val="22"/>
          <w:szCs w:val="22"/>
        </w:rPr>
      </w:pPr>
    </w:p>
    <w:p w:rsidR="00A73563" w:rsidRPr="00982D2A" w:rsidRDefault="00A73563" w:rsidP="00A73563">
      <w:pPr>
        <w:rPr>
          <w:rFonts w:ascii="Arial" w:hAnsi="Arial" w:cs="Arial"/>
          <w:sz w:val="24"/>
          <w:szCs w:val="24"/>
        </w:rPr>
      </w:pPr>
      <w:r w:rsidRPr="00982D2A">
        <w:rPr>
          <w:rFonts w:ascii="Arial" w:hAnsi="Arial" w:cs="Arial"/>
          <w:sz w:val="24"/>
          <w:szCs w:val="24"/>
        </w:rPr>
        <w:t>Renseignements :</w:t>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t>Source :</w:t>
      </w:r>
    </w:p>
    <w:p w:rsidR="00A73563" w:rsidRPr="00982D2A" w:rsidRDefault="00A73563" w:rsidP="00A73563">
      <w:pPr>
        <w:rPr>
          <w:rFonts w:ascii="Arial" w:hAnsi="Arial" w:cs="Arial"/>
          <w:sz w:val="24"/>
          <w:szCs w:val="24"/>
        </w:rPr>
      </w:pPr>
      <w:r w:rsidRPr="00982D2A">
        <w:rPr>
          <w:rFonts w:ascii="Arial" w:hAnsi="Arial" w:cs="Arial"/>
          <w:sz w:val="24"/>
          <w:szCs w:val="24"/>
        </w:rPr>
        <w:t>Pascale Chamberland</w:t>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t>Mario Royer</w:t>
      </w:r>
    </w:p>
    <w:p w:rsidR="00A73563" w:rsidRPr="00982D2A" w:rsidRDefault="00A73563" w:rsidP="00A73563">
      <w:pPr>
        <w:rPr>
          <w:rFonts w:ascii="Arial" w:hAnsi="Arial" w:cs="Arial"/>
          <w:sz w:val="24"/>
          <w:szCs w:val="24"/>
        </w:rPr>
      </w:pPr>
      <w:r w:rsidRPr="00982D2A">
        <w:rPr>
          <w:rFonts w:ascii="Arial" w:hAnsi="Arial" w:cs="Arial"/>
          <w:sz w:val="24"/>
          <w:szCs w:val="24"/>
        </w:rPr>
        <w:t>Directrice</w:t>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r>
      <w:r w:rsidRPr="00982D2A">
        <w:rPr>
          <w:rFonts w:ascii="Arial" w:hAnsi="Arial" w:cs="Arial"/>
          <w:sz w:val="24"/>
          <w:szCs w:val="24"/>
        </w:rPr>
        <w:tab/>
        <w:t>conseiller en communication</w:t>
      </w:r>
    </w:p>
    <w:p w:rsidR="00A73563" w:rsidRPr="00982D2A" w:rsidRDefault="00A73563" w:rsidP="00A73563">
      <w:pPr>
        <w:rPr>
          <w:rFonts w:ascii="Arial" w:hAnsi="Arial" w:cs="Arial"/>
          <w:sz w:val="24"/>
          <w:szCs w:val="24"/>
        </w:rPr>
      </w:pPr>
      <w:r w:rsidRPr="00982D2A">
        <w:rPr>
          <w:rFonts w:ascii="Arial" w:hAnsi="Arial" w:cs="Arial"/>
          <w:sz w:val="24"/>
          <w:szCs w:val="24"/>
        </w:rPr>
        <w:t>418 338-7808, poste 3110</w:t>
      </w:r>
      <w:r w:rsidRPr="00982D2A">
        <w:rPr>
          <w:rFonts w:ascii="Arial" w:hAnsi="Arial" w:cs="Arial"/>
          <w:sz w:val="24"/>
          <w:szCs w:val="24"/>
        </w:rPr>
        <w:tab/>
      </w:r>
      <w:r w:rsidRPr="00982D2A">
        <w:rPr>
          <w:rFonts w:ascii="Arial" w:hAnsi="Arial" w:cs="Arial"/>
          <w:color w:val="FF0000"/>
          <w:sz w:val="24"/>
          <w:szCs w:val="24"/>
        </w:rPr>
        <w:tab/>
      </w:r>
      <w:r w:rsidRPr="00982D2A">
        <w:rPr>
          <w:rFonts w:ascii="Arial" w:hAnsi="Arial" w:cs="Arial"/>
          <w:color w:val="FF0000"/>
          <w:sz w:val="24"/>
          <w:szCs w:val="24"/>
        </w:rPr>
        <w:tab/>
      </w:r>
      <w:r w:rsidRPr="00982D2A">
        <w:rPr>
          <w:rFonts w:ascii="Arial" w:hAnsi="Arial" w:cs="Arial"/>
          <w:color w:val="FF0000"/>
          <w:sz w:val="24"/>
          <w:szCs w:val="24"/>
        </w:rPr>
        <w:tab/>
      </w:r>
      <w:r w:rsidRPr="00982D2A">
        <w:rPr>
          <w:rFonts w:ascii="Arial" w:hAnsi="Arial" w:cs="Arial"/>
          <w:sz w:val="24"/>
          <w:szCs w:val="24"/>
        </w:rPr>
        <w:t>mario.royer@csappalaches.qc.ca</w:t>
      </w:r>
    </w:p>
    <w:p w:rsidR="00A73563" w:rsidRPr="00982D2A" w:rsidRDefault="00A73563" w:rsidP="00A73563">
      <w:pPr>
        <w:rPr>
          <w:rFonts w:ascii="Arial" w:hAnsi="Arial" w:cs="Arial"/>
          <w:sz w:val="24"/>
          <w:szCs w:val="24"/>
        </w:rPr>
      </w:pPr>
      <w:r w:rsidRPr="00982D2A">
        <w:rPr>
          <w:rFonts w:ascii="Arial" w:hAnsi="Arial" w:cs="Arial"/>
          <w:sz w:val="24"/>
          <w:szCs w:val="24"/>
        </w:rPr>
        <w:t>pascale.chamberland@csappalaches.qc.ca</w:t>
      </w:r>
    </w:p>
    <w:p w:rsidR="00C30250" w:rsidRPr="00982D2A" w:rsidRDefault="00C30250" w:rsidP="00A73563">
      <w:pPr>
        <w:autoSpaceDE w:val="0"/>
        <w:autoSpaceDN w:val="0"/>
        <w:adjustRightInd w:val="0"/>
        <w:rPr>
          <w:rFonts w:ascii="Arial" w:hAnsi="Arial" w:cs="Arial"/>
          <w:sz w:val="24"/>
          <w:szCs w:val="22"/>
        </w:rPr>
      </w:pPr>
    </w:p>
    <w:sectPr w:rsidR="00C30250" w:rsidRPr="00982D2A" w:rsidSect="003E2446">
      <w:headerReference w:type="first" r:id="rId9"/>
      <w:footerReference w:type="first" r:id="rId10"/>
      <w:type w:val="continuous"/>
      <w:pgSz w:w="12240" w:h="15840" w:code="1"/>
      <w:pgMar w:top="1151" w:right="1361" w:bottom="357"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92" w:rsidRDefault="00B23B92">
      <w:r>
        <w:separator/>
      </w:r>
    </w:p>
  </w:endnote>
  <w:endnote w:type="continuationSeparator" w:id="0">
    <w:p w:rsidR="00B23B92" w:rsidRDefault="00B2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92" w:rsidRDefault="00B23B92">
      <w:r>
        <w:separator/>
      </w:r>
    </w:p>
  </w:footnote>
  <w:footnote w:type="continuationSeparator" w:id="0">
    <w:p w:rsidR="00B23B92" w:rsidRDefault="00B2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F04336">
          <w:pPr>
            <w:pStyle w:val="En-tte"/>
          </w:pPr>
          <w:r w:rsidRPr="000A460A">
            <w:rPr>
              <w:noProof/>
              <w:lang w:eastAsia="fr-CA"/>
            </w:rPr>
            <w:drawing>
              <wp:inline distT="0" distB="0" distL="0" distR="0">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2"/>
    <w:rsid w:val="00135C63"/>
    <w:rsid w:val="001B6D52"/>
    <w:rsid w:val="00202483"/>
    <w:rsid w:val="002256A1"/>
    <w:rsid w:val="00264C23"/>
    <w:rsid w:val="00277A9F"/>
    <w:rsid w:val="002C23A0"/>
    <w:rsid w:val="002C76DD"/>
    <w:rsid w:val="003051A4"/>
    <w:rsid w:val="003A6052"/>
    <w:rsid w:val="003B7474"/>
    <w:rsid w:val="003D3B62"/>
    <w:rsid w:val="003E2446"/>
    <w:rsid w:val="003F5FB3"/>
    <w:rsid w:val="00403EE6"/>
    <w:rsid w:val="00486609"/>
    <w:rsid w:val="004E40E9"/>
    <w:rsid w:val="00521911"/>
    <w:rsid w:val="005219D6"/>
    <w:rsid w:val="005B10EF"/>
    <w:rsid w:val="005B33CA"/>
    <w:rsid w:val="006307C0"/>
    <w:rsid w:val="00637472"/>
    <w:rsid w:val="006561B4"/>
    <w:rsid w:val="0066605F"/>
    <w:rsid w:val="006B7649"/>
    <w:rsid w:val="00760C4A"/>
    <w:rsid w:val="00761D9B"/>
    <w:rsid w:val="00842BFC"/>
    <w:rsid w:val="008609D2"/>
    <w:rsid w:val="008A236A"/>
    <w:rsid w:val="008F7000"/>
    <w:rsid w:val="00981A4A"/>
    <w:rsid w:val="00982D2A"/>
    <w:rsid w:val="009A0946"/>
    <w:rsid w:val="009B286C"/>
    <w:rsid w:val="009B58A4"/>
    <w:rsid w:val="00A30760"/>
    <w:rsid w:val="00A546F8"/>
    <w:rsid w:val="00A7079E"/>
    <w:rsid w:val="00A73563"/>
    <w:rsid w:val="00A81840"/>
    <w:rsid w:val="00A85B5E"/>
    <w:rsid w:val="00AF40E5"/>
    <w:rsid w:val="00B23B92"/>
    <w:rsid w:val="00B638BE"/>
    <w:rsid w:val="00B833CE"/>
    <w:rsid w:val="00B84C59"/>
    <w:rsid w:val="00BB0445"/>
    <w:rsid w:val="00BB2EC1"/>
    <w:rsid w:val="00C30250"/>
    <w:rsid w:val="00C35B0E"/>
    <w:rsid w:val="00C60677"/>
    <w:rsid w:val="00C96842"/>
    <w:rsid w:val="00CD48E6"/>
    <w:rsid w:val="00CE738F"/>
    <w:rsid w:val="00D1067D"/>
    <w:rsid w:val="00D113CF"/>
    <w:rsid w:val="00E502BF"/>
    <w:rsid w:val="00E60A1D"/>
    <w:rsid w:val="00E932F3"/>
    <w:rsid w:val="00EE6AFB"/>
    <w:rsid w:val="00F04336"/>
    <w:rsid w:val="00F2494F"/>
    <w:rsid w:val="00F44B1C"/>
    <w:rsid w:val="00F67A13"/>
    <w:rsid w:val="00F90079"/>
    <w:rsid w:val="00FA3617"/>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027E40"/>
  <w15:chartTrackingRefBased/>
  <w15:docId w15:val="{75B17389-22EA-4E24-8B1E-E5B71212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styleId="Mentionnonrsolue">
    <w:name w:val="Unresolved Mention"/>
    <w:uiPriority w:val="99"/>
    <w:semiHidden/>
    <w:unhideWhenUsed/>
    <w:rsid w:val="003E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8358">
      <w:bodyDiv w:val="1"/>
      <w:marLeft w:val="0"/>
      <w:marRight w:val="0"/>
      <w:marTop w:val="0"/>
      <w:marBottom w:val="0"/>
      <w:divBdr>
        <w:top w:val="none" w:sz="0" w:space="0" w:color="auto"/>
        <w:left w:val="none" w:sz="0" w:space="0" w:color="auto"/>
        <w:bottom w:val="none" w:sz="0" w:space="0" w:color="auto"/>
        <w:right w:val="none" w:sz="0" w:space="0" w:color="auto"/>
      </w:divBdr>
    </w:div>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3.xml><?xml version="1.0" encoding="utf-8"?>
<ds:datastoreItem xmlns:ds="http://schemas.openxmlformats.org/officeDocument/2006/customXml" ds:itemID="{EB4E3310-09DD-45F5-8C18-64BC08B7D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1891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2230</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5</cp:revision>
  <cp:lastPrinted>2001-09-25T13:26:00Z</cp:lastPrinted>
  <dcterms:created xsi:type="dcterms:W3CDTF">2022-03-08T21:38:00Z</dcterms:created>
  <dcterms:modified xsi:type="dcterms:W3CDTF">2022-03-09T13:20:00Z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